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5D9E677" w14:textId="77777777" w:rsidR="005A7E2C" w:rsidRDefault="00000000">
      <w:pPr>
        <w:jc w:val="center"/>
        <w:rPr>
          <w:rFonts w:ascii="Verdana" w:eastAsia="Verdana" w:hAnsi="Verdana" w:cs="Verdana"/>
          <w:b/>
          <w:sz w:val="40"/>
          <w:szCs w:val="40"/>
        </w:rPr>
      </w:pPr>
      <w:r>
        <w:rPr>
          <w:rFonts w:ascii="Verdana" w:eastAsia="Verdana" w:hAnsi="Verdana" w:cs="Verdana"/>
          <w:b/>
          <w:sz w:val="40"/>
          <w:szCs w:val="40"/>
        </w:rPr>
        <w:t>Glare Sensitivity</w:t>
      </w:r>
    </w:p>
    <w:p w14:paraId="036B2326" w14:textId="77777777" w:rsidR="005A7E2C" w:rsidRDefault="00000000">
      <w:pPr>
        <w:spacing w:line="299" w:lineRule="auto"/>
        <w:rPr>
          <w:rFonts w:ascii="Verdana" w:eastAsia="Verdana" w:hAnsi="Verdana" w:cs="Verdana"/>
          <w:sz w:val="36"/>
          <w:szCs w:val="36"/>
          <w:u w:val="single"/>
        </w:rPr>
      </w:pPr>
      <w:r>
        <w:rPr>
          <w:rFonts w:ascii="Verdana" w:eastAsia="Verdana" w:hAnsi="Verdana" w:cs="Verdana"/>
          <w:sz w:val="36"/>
          <w:szCs w:val="36"/>
          <w:u w:val="single"/>
        </w:rPr>
        <w:t xml:space="preserve"> </w:t>
      </w:r>
    </w:p>
    <w:p w14:paraId="403019F5" w14:textId="77777777" w:rsidR="005A7E2C"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u w:val="single"/>
        </w:rPr>
        <w:t>Glare</w:t>
      </w:r>
      <w:r>
        <w:rPr>
          <w:rFonts w:ascii="Verdana" w:eastAsia="Verdana" w:hAnsi="Verdana" w:cs="Verdana"/>
          <w:sz w:val="36"/>
          <w:szCs w:val="36"/>
        </w:rPr>
        <w:t xml:space="preserve"> sensitivity is an increased difficulty seeing in the presence of bright light, reflections, or a strong contrast between light and dark. This happens because certain eye conditions cause light to scatter within the eye rather than focus on the retina</w:t>
      </w:r>
      <w:r>
        <w:rPr>
          <w:noProof/>
        </w:rPr>
        <mc:AlternateContent>
          <mc:Choice Requires="wpg">
            <w:drawing>
              <wp:anchor distT="114300" distB="114300" distL="114300" distR="114300" simplePos="0" relativeHeight="251658240" behindDoc="0" locked="0" layoutInCell="1" hidden="0" allowOverlap="1" wp14:anchorId="2B19C483" wp14:editId="16948F5D">
                <wp:simplePos x="0" y="0"/>
                <wp:positionH relativeFrom="column">
                  <wp:posOffset>4962525</wp:posOffset>
                </wp:positionH>
                <wp:positionV relativeFrom="paragraph">
                  <wp:posOffset>119445</wp:posOffset>
                </wp:positionV>
                <wp:extent cx="1993655" cy="1853024"/>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1993655" cy="1853024"/>
                          <a:chOff x="4346550" y="2850875"/>
                          <a:chExt cx="1998900" cy="1858275"/>
                        </a:xfrm>
                      </wpg:grpSpPr>
                      <wpg:grpSp>
                        <wpg:cNvPr id="1133058783" name="Group 1133058783"/>
                        <wpg:cNvGrpSpPr/>
                        <wpg:grpSpPr>
                          <a:xfrm>
                            <a:off x="4349173" y="2853488"/>
                            <a:ext cx="1993655" cy="1853024"/>
                            <a:chOff x="945300" y="143350"/>
                            <a:chExt cx="2311800" cy="2149525"/>
                          </a:xfrm>
                        </wpg:grpSpPr>
                        <wps:wsp>
                          <wps:cNvPr id="1543377823" name="Rectangle 1543377823"/>
                          <wps:cNvSpPr/>
                          <wps:spPr>
                            <a:xfrm>
                              <a:off x="945300" y="143350"/>
                              <a:ext cx="2311800" cy="2149525"/>
                            </a:xfrm>
                            <a:prstGeom prst="rect">
                              <a:avLst/>
                            </a:prstGeom>
                            <a:noFill/>
                            <a:ln>
                              <a:noFill/>
                            </a:ln>
                          </wps:spPr>
                          <wps:txbx>
                            <w:txbxContent>
                              <w:p w14:paraId="78937573" w14:textId="77777777" w:rsidR="005A7E2C" w:rsidRDefault="005A7E2C">
                                <w:pPr>
                                  <w:spacing w:line="240" w:lineRule="auto"/>
                                  <w:textDirection w:val="btLr"/>
                                </w:pPr>
                              </w:p>
                            </w:txbxContent>
                          </wps:txbx>
                          <wps:bodyPr spcFirstLastPara="1" wrap="square" lIns="91425" tIns="91425" rIns="91425" bIns="91425" anchor="ctr" anchorCtr="0">
                            <a:noAutofit/>
                          </wps:bodyPr>
                        </wps:wsp>
                        <wps:wsp>
                          <wps:cNvPr id="1541652437" name="Rectangle 1541652437"/>
                          <wps:cNvSpPr/>
                          <wps:spPr>
                            <a:xfrm>
                              <a:off x="964350" y="162425"/>
                              <a:ext cx="2273700" cy="2111400"/>
                            </a:xfrm>
                            <a:prstGeom prst="rect">
                              <a:avLst/>
                            </a:prstGeom>
                            <a:solidFill>
                              <a:srgbClr val="FFFFFF"/>
                            </a:solidFill>
                            <a:ln w="38100" cap="flat" cmpd="sng">
                              <a:solidFill>
                                <a:srgbClr val="000000"/>
                              </a:solidFill>
                              <a:prstDash val="solid"/>
                              <a:round/>
                              <a:headEnd type="none" w="sm" len="sm"/>
                              <a:tailEnd type="none" w="sm" len="sm"/>
                            </a:ln>
                          </wps:spPr>
                          <wps:txbx>
                            <w:txbxContent>
                              <w:p w14:paraId="475F6C30" w14:textId="77777777" w:rsidR="005A7E2C" w:rsidRDefault="005A7E2C">
                                <w:pPr>
                                  <w:spacing w:line="240" w:lineRule="auto"/>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6">
                              <a:alphaModFix/>
                            </a:blip>
                            <a:srcRect/>
                            <a:stretch/>
                          </pic:blipFill>
                          <pic:spPr>
                            <a:xfrm>
                              <a:off x="1131200" y="421275"/>
                              <a:ext cx="1940010" cy="1593700"/>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4962525</wp:posOffset>
                </wp:positionH>
                <wp:positionV relativeFrom="paragraph">
                  <wp:posOffset>119445</wp:posOffset>
                </wp:positionV>
                <wp:extent cx="1993655" cy="1853024"/>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993655" cy="1853024"/>
                        </a:xfrm>
                        <a:prstGeom prst="rect"/>
                        <a:ln/>
                      </pic:spPr>
                    </pic:pic>
                  </a:graphicData>
                </a:graphic>
              </wp:anchor>
            </w:drawing>
          </mc:Fallback>
        </mc:AlternateContent>
      </w:r>
    </w:p>
    <w:p w14:paraId="1060ABD7" w14:textId="77777777" w:rsidR="005A7E2C" w:rsidRDefault="00000000">
      <w:pPr>
        <w:spacing w:line="299" w:lineRule="auto"/>
        <w:rPr>
          <w:rFonts w:ascii="Verdana" w:eastAsia="Verdana" w:hAnsi="Verdana" w:cs="Verdana"/>
          <w:sz w:val="36"/>
          <w:szCs w:val="36"/>
        </w:rPr>
      </w:pPr>
      <w:r>
        <w:rPr>
          <w:rFonts w:ascii="Verdana" w:eastAsia="Verdana" w:hAnsi="Verdana" w:cs="Verdana"/>
          <w:sz w:val="36"/>
          <w:szCs w:val="36"/>
        </w:rPr>
        <w:t xml:space="preserve"> </w:t>
      </w:r>
    </w:p>
    <w:p w14:paraId="67AD16CB" w14:textId="4266E752" w:rsidR="005A7E2C"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 xml:space="preserve">To avoid glare, task lighting should be used. When possible, </w:t>
      </w:r>
      <w:r w:rsidR="007C46A6">
        <w:rPr>
          <w:rFonts w:ascii="Verdana" w:eastAsia="Verdana" w:hAnsi="Verdana" w:cs="Verdana"/>
          <w:sz w:val="36"/>
          <w:szCs w:val="36"/>
        </w:rPr>
        <w:t>t</w:t>
      </w:r>
      <w:r>
        <w:rPr>
          <w:rFonts w:ascii="Verdana" w:eastAsia="Verdana" w:hAnsi="Verdana" w:cs="Verdana"/>
          <w:sz w:val="36"/>
          <w:szCs w:val="36"/>
        </w:rPr>
        <w:t>he task light should be shaded, below eye level and positioned to the side of the object in view.</w:t>
      </w:r>
    </w:p>
    <w:p w14:paraId="765052B8" w14:textId="77777777" w:rsidR="005A7E2C" w:rsidRDefault="00000000">
      <w:pPr>
        <w:spacing w:line="299" w:lineRule="auto"/>
        <w:rPr>
          <w:rFonts w:ascii="Verdana" w:eastAsia="Verdana" w:hAnsi="Verdana" w:cs="Verdana"/>
          <w:sz w:val="36"/>
          <w:szCs w:val="36"/>
        </w:rPr>
      </w:pPr>
      <w:r>
        <w:rPr>
          <w:rFonts w:ascii="Verdana" w:eastAsia="Verdana" w:hAnsi="Verdana" w:cs="Verdana"/>
          <w:sz w:val="36"/>
          <w:szCs w:val="36"/>
        </w:rPr>
        <w:t xml:space="preserve"> </w:t>
      </w:r>
    </w:p>
    <w:p w14:paraId="0282490B" w14:textId="77777777" w:rsidR="005A7E2C"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When utilizing task lighting, it is important to consider materials used that may cause glare, including glossy or shiny surfaces. Reposition object or task lighting to different sides until glare is eliminated.</w:t>
      </w:r>
    </w:p>
    <w:p w14:paraId="5B38E98F" w14:textId="77777777" w:rsidR="005A7E2C" w:rsidRDefault="00000000">
      <w:pPr>
        <w:spacing w:line="299" w:lineRule="auto"/>
        <w:rPr>
          <w:rFonts w:ascii="Verdana" w:eastAsia="Verdana" w:hAnsi="Verdana" w:cs="Verdana"/>
          <w:sz w:val="36"/>
          <w:szCs w:val="36"/>
        </w:rPr>
      </w:pPr>
      <w:r>
        <w:rPr>
          <w:rFonts w:ascii="Verdana" w:eastAsia="Verdana" w:hAnsi="Verdana" w:cs="Verdana"/>
          <w:sz w:val="36"/>
          <w:szCs w:val="36"/>
        </w:rPr>
        <w:t xml:space="preserve"> </w:t>
      </w:r>
    </w:p>
    <w:p w14:paraId="3165067E" w14:textId="77777777" w:rsidR="005A7E2C"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In home environments, utilizing curtains and blinds are effective ways for eliminating excessive lighting that may lead to glare sensitivity.</w:t>
      </w:r>
    </w:p>
    <w:p w14:paraId="0BB6DDB4" w14:textId="77777777" w:rsidR="005A7E2C" w:rsidRDefault="00000000">
      <w:pPr>
        <w:spacing w:line="299" w:lineRule="auto"/>
        <w:rPr>
          <w:rFonts w:ascii="Verdana" w:eastAsia="Verdana" w:hAnsi="Verdana" w:cs="Verdana"/>
          <w:sz w:val="36"/>
          <w:szCs w:val="36"/>
        </w:rPr>
      </w:pPr>
      <w:r>
        <w:rPr>
          <w:rFonts w:ascii="Verdana" w:eastAsia="Verdana" w:hAnsi="Verdana" w:cs="Verdana"/>
          <w:sz w:val="36"/>
          <w:szCs w:val="36"/>
        </w:rPr>
        <w:t xml:space="preserve"> </w:t>
      </w:r>
    </w:p>
    <w:p w14:paraId="0163F246" w14:textId="77777777" w:rsidR="005A7E2C"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lastRenderedPageBreak/>
        <w:t>●</w:t>
      </w:r>
      <w:r>
        <w:rPr>
          <w:rFonts w:ascii="Times New Roman" w:eastAsia="Times New Roman" w:hAnsi="Times New Roman" w:cs="Times New Roman"/>
          <w:sz w:val="14"/>
          <w:szCs w:val="14"/>
        </w:rPr>
        <w:tab/>
      </w:r>
      <w:r>
        <w:rPr>
          <w:rFonts w:ascii="Verdana" w:eastAsia="Verdana" w:hAnsi="Verdana" w:cs="Verdana"/>
          <w:sz w:val="36"/>
          <w:szCs w:val="36"/>
        </w:rPr>
        <w:t>Brimmed hats or visors can help eliminate glare sensitivity indoors or outdoors.</w:t>
      </w:r>
    </w:p>
    <w:p w14:paraId="72521D86" w14:textId="77777777" w:rsidR="005A7E2C" w:rsidRDefault="00000000">
      <w:pPr>
        <w:spacing w:line="299" w:lineRule="auto"/>
        <w:rPr>
          <w:rFonts w:ascii="Verdana" w:eastAsia="Verdana" w:hAnsi="Verdana" w:cs="Verdana"/>
          <w:sz w:val="36"/>
          <w:szCs w:val="36"/>
        </w:rPr>
      </w:pPr>
      <w:r>
        <w:rPr>
          <w:rFonts w:ascii="Verdana" w:eastAsia="Verdana" w:hAnsi="Verdana" w:cs="Verdana"/>
          <w:sz w:val="36"/>
          <w:szCs w:val="36"/>
        </w:rPr>
        <w:t xml:space="preserve"> </w:t>
      </w:r>
    </w:p>
    <w:p w14:paraId="5343A36D" w14:textId="77777777" w:rsidR="005A7E2C"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Absorptive lenses can be utilized to reduce glare when lighting cannot be controlled. This is possible through the lenses having densities of light transmission and different colors.</w:t>
      </w:r>
    </w:p>
    <w:p w14:paraId="64E17AD1" w14:textId="77777777" w:rsidR="005A7E2C" w:rsidRDefault="00000000">
      <w:pPr>
        <w:spacing w:line="299" w:lineRule="auto"/>
        <w:rPr>
          <w:rFonts w:ascii="Verdana" w:eastAsia="Verdana" w:hAnsi="Verdana" w:cs="Verdana"/>
          <w:sz w:val="36"/>
          <w:szCs w:val="36"/>
        </w:rPr>
      </w:pPr>
      <w:r>
        <w:rPr>
          <w:rFonts w:ascii="Verdana" w:eastAsia="Verdana" w:hAnsi="Verdana" w:cs="Verdana"/>
          <w:sz w:val="36"/>
          <w:szCs w:val="36"/>
        </w:rPr>
        <w:t xml:space="preserve"> </w:t>
      </w:r>
    </w:p>
    <w:p w14:paraId="3931852F" w14:textId="20B86038" w:rsidR="005A7E2C"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 xml:space="preserve">Some examples of sun lens colors that help reduce glare </w:t>
      </w:r>
      <w:r w:rsidR="007C46A6">
        <w:rPr>
          <w:rFonts w:ascii="Verdana" w:eastAsia="Verdana" w:hAnsi="Verdana" w:cs="Verdana"/>
          <w:sz w:val="36"/>
          <w:szCs w:val="36"/>
        </w:rPr>
        <w:t>include</w:t>
      </w:r>
      <w:r>
        <w:rPr>
          <w:rFonts w:ascii="Verdana" w:eastAsia="Verdana" w:hAnsi="Verdana" w:cs="Verdana"/>
          <w:sz w:val="36"/>
          <w:szCs w:val="36"/>
        </w:rPr>
        <w:t xml:space="preserve"> amber, gray, gray-green, plum, and topaz. Choosing the correct sun lens color requires subjective feedback.</w:t>
      </w:r>
    </w:p>
    <w:p w14:paraId="3BCF2D13" w14:textId="77777777" w:rsidR="005A7E2C" w:rsidRDefault="00000000">
      <w:pPr>
        <w:ind w:left="720"/>
        <w:rPr>
          <w:rFonts w:ascii="Verdana" w:eastAsia="Verdana" w:hAnsi="Verdana" w:cs="Verdana"/>
          <w:sz w:val="36"/>
          <w:szCs w:val="36"/>
        </w:rPr>
      </w:pPr>
      <w:r>
        <w:rPr>
          <w:rFonts w:ascii="Verdana" w:eastAsia="Verdana" w:hAnsi="Verdana" w:cs="Verdana"/>
          <w:sz w:val="36"/>
          <w:szCs w:val="36"/>
        </w:rPr>
        <w:t xml:space="preserve"> </w:t>
      </w:r>
    </w:p>
    <w:p w14:paraId="1600F2F1" w14:textId="77777777" w:rsidR="005A7E2C"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The best style of absorptive lens wraps tightly above and around the eyes to block glare and reflections around the lenses.</w:t>
      </w:r>
    </w:p>
    <w:p w14:paraId="3D74D481" w14:textId="77777777" w:rsidR="005A7E2C" w:rsidRDefault="00000000">
      <w:pPr>
        <w:rPr>
          <w:sz w:val="36"/>
          <w:szCs w:val="36"/>
        </w:rPr>
      </w:pPr>
      <w:r>
        <w:rPr>
          <w:sz w:val="36"/>
          <w:szCs w:val="36"/>
        </w:rPr>
        <w:t xml:space="preserve"> </w:t>
      </w:r>
    </w:p>
    <w:p w14:paraId="4609213E" w14:textId="77777777" w:rsidR="005A7E2C" w:rsidRDefault="00000000">
      <w:pPr>
        <w:rPr>
          <w:sz w:val="36"/>
          <w:szCs w:val="36"/>
        </w:rPr>
      </w:pPr>
      <w:r>
        <w:rPr>
          <w:sz w:val="36"/>
          <w:szCs w:val="36"/>
        </w:rPr>
        <w:t xml:space="preserve"> </w:t>
      </w:r>
    </w:p>
    <w:p w14:paraId="674D3331" w14:textId="77777777" w:rsidR="005A7E2C" w:rsidRDefault="00000000">
      <w:pPr>
        <w:rPr>
          <w:sz w:val="36"/>
          <w:szCs w:val="36"/>
        </w:rPr>
      </w:pPr>
      <w:r>
        <w:rPr>
          <w:sz w:val="36"/>
          <w:szCs w:val="36"/>
        </w:rPr>
        <w:t xml:space="preserve"> </w:t>
      </w:r>
    </w:p>
    <w:p w14:paraId="2DE8E064" w14:textId="343C882C" w:rsidR="005A7E2C" w:rsidRDefault="00000000">
      <w:pPr>
        <w:rPr>
          <w:sz w:val="36"/>
          <w:szCs w:val="36"/>
        </w:rPr>
      </w:pPr>
      <w:r>
        <w:rPr>
          <w:sz w:val="36"/>
          <w:szCs w:val="36"/>
        </w:rPr>
        <w:t xml:space="preserve"> </w:t>
      </w:r>
    </w:p>
    <w:p w14:paraId="59F52010" w14:textId="77777777" w:rsidR="005A7E2C" w:rsidRDefault="005A7E2C">
      <w:pPr>
        <w:rPr>
          <w:sz w:val="36"/>
          <w:szCs w:val="36"/>
        </w:rPr>
      </w:pPr>
    </w:p>
    <w:p w14:paraId="2BDBE772" w14:textId="77777777" w:rsidR="005A7E2C" w:rsidRDefault="005A7E2C">
      <w:pPr>
        <w:rPr>
          <w:sz w:val="36"/>
          <w:szCs w:val="36"/>
        </w:rPr>
      </w:pPr>
    </w:p>
    <w:p w14:paraId="2E4ACDE4" w14:textId="77777777" w:rsidR="005A7E2C" w:rsidRDefault="005A7E2C">
      <w:pPr>
        <w:rPr>
          <w:sz w:val="36"/>
          <w:szCs w:val="36"/>
        </w:rPr>
      </w:pPr>
    </w:p>
    <w:p w14:paraId="06C976A1" w14:textId="77777777" w:rsidR="005A7E2C" w:rsidRDefault="00000000">
      <w:pPr>
        <w:rPr>
          <w:sz w:val="36"/>
          <w:szCs w:val="36"/>
        </w:rPr>
      </w:pPr>
      <w:r>
        <w:rPr>
          <w:noProof/>
        </w:rPr>
        <w:lastRenderedPageBreak/>
        <w:drawing>
          <wp:anchor distT="114300" distB="114300" distL="114300" distR="114300" simplePos="0" relativeHeight="251659264" behindDoc="0" locked="0" layoutInCell="1" hidden="0" allowOverlap="1" wp14:anchorId="5C4C97FC" wp14:editId="016F770B">
            <wp:simplePos x="0" y="0"/>
            <wp:positionH relativeFrom="column">
              <wp:posOffset>485775</wp:posOffset>
            </wp:positionH>
            <wp:positionV relativeFrom="paragraph">
              <wp:posOffset>114300</wp:posOffset>
            </wp:positionV>
            <wp:extent cx="5943600" cy="116840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1168400"/>
                    </a:xfrm>
                    <a:prstGeom prst="rect">
                      <a:avLst/>
                    </a:prstGeom>
                    <a:ln/>
                  </pic:spPr>
                </pic:pic>
              </a:graphicData>
            </a:graphic>
          </wp:anchor>
        </w:drawing>
      </w:r>
    </w:p>
    <w:p w14:paraId="79D8A6F2" w14:textId="77777777" w:rsidR="005A7E2C" w:rsidRDefault="00000000">
      <w:pPr>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0789956B" w14:textId="77777777" w:rsidR="005A7E2C" w:rsidRDefault="00000000">
      <w:pPr>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4435D4F4" w14:textId="77777777" w:rsidR="005A7E2C"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60377F7D" w14:textId="77777777" w:rsidR="005A7E2C"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4C22B8FF" w14:textId="77777777" w:rsidR="005A7E2C"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This free resource is provided by the Kentucky Lions Eye Foundation. Our mission is to provide vision services through education, detection, prevention, treatment and empowerment. Through collaborative partnerships, we enable greater independence and increased quality of life for all Kentuckians while focusing on children and adults in financial need. Our Low Vision Clinic provides specialized resources and support to help individuals with vision loss maximize their independence and quality of life. To learn more about our Low Vision Clinic, please visit www.kylionseye.org/lowvision.</w:t>
      </w:r>
    </w:p>
    <w:p w14:paraId="6B1FFFA0" w14:textId="77777777" w:rsidR="005A7E2C" w:rsidRDefault="00000000">
      <w:pPr>
        <w:spacing w:line="299" w:lineRule="auto"/>
        <w:jc w:val="right"/>
        <w:rPr>
          <w:rFonts w:ascii="Verdana" w:eastAsia="Verdana" w:hAnsi="Verdana" w:cs="Verdana"/>
          <w:sz w:val="36"/>
          <w:szCs w:val="36"/>
          <w:highlight w:val="white"/>
        </w:rPr>
      </w:pPr>
      <w:r>
        <w:rPr>
          <w:rFonts w:ascii="Verdana" w:eastAsia="Verdana" w:hAnsi="Verdana" w:cs="Verdana"/>
          <w:sz w:val="36"/>
          <w:szCs w:val="36"/>
          <w:highlight w:val="white"/>
        </w:rPr>
        <w:t xml:space="preserve"> - Created by Molly Hosking, OTS</w:t>
      </w:r>
    </w:p>
    <w:p w14:paraId="459E9A08" w14:textId="77777777" w:rsidR="005A7E2C" w:rsidRDefault="00000000">
      <w:pPr>
        <w:spacing w:line="299" w:lineRule="auto"/>
        <w:jc w:val="right"/>
        <w:rPr>
          <w:rFonts w:ascii="Verdana" w:eastAsia="Verdana" w:hAnsi="Verdana" w:cs="Verdana"/>
          <w:sz w:val="36"/>
          <w:szCs w:val="36"/>
          <w:highlight w:val="white"/>
        </w:rPr>
      </w:pPr>
      <w:r>
        <w:rPr>
          <w:rFonts w:ascii="Verdana" w:eastAsia="Verdana" w:hAnsi="Verdana" w:cs="Verdana"/>
          <w:sz w:val="36"/>
          <w:szCs w:val="36"/>
          <w:highlight w:val="white"/>
        </w:rPr>
        <w:t>From Spalding University</w:t>
      </w:r>
    </w:p>
    <w:p w14:paraId="7087F6F3" w14:textId="77777777" w:rsidR="005A7E2C" w:rsidRDefault="005A7E2C"/>
    <w:sectPr w:rsidR="005A7E2C">
      <w:headerReference w:type="even" r:id="rId9"/>
      <w:headerReference w:type="default" r:id="rId10"/>
      <w:footerReference w:type="even" r:id="rId11"/>
      <w:footerReference w:type="default" r:id="rId12"/>
      <w:headerReference w:type="first" r:id="rId13"/>
      <w:footerReference w:type="first" r:id="rId14"/>
      <w:pgSz w:w="12240" w:h="15840"/>
      <w:pgMar w:top="431" w:right="431" w:bottom="431" w:left="43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8BC071" w14:textId="77777777" w:rsidR="004461B8" w:rsidRDefault="004461B8" w:rsidP="007C46A6">
      <w:pPr>
        <w:spacing w:line="240" w:lineRule="auto"/>
      </w:pPr>
      <w:r>
        <w:separator/>
      </w:r>
    </w:p>
  </w:endnote>
  <w:endnote w:type="continuationSeparator" w:id="0">
    <w:p w14:paraId="323AF5AF" w14:textId="77777777" w:rsidR="004461B8" w:rsidRDefault="004461B8" w:rsidP="007C46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04F511C7-3611-B74B-A0F8-CD289C834CA6}"/>
    <w:embedItalic r:id="rId2" w:fontKey="{E457FA73-3826-5042-AF56-34116E1B4016}"/>
  </w:font>
  <w:font w:name="Times New Roman">
    <w:panose1 w:val="02020603050405020304"/>
    <w:charset w:val="00"/>
    <w:family w:val="roman"/>
    <w:pitch w:val="variable"/>
    <w:sig w:usb0="E0002EFF" w:usb1="C000785B" w:usb2="00000009" w:usb3="00000000" w:csb0="000001FF" w:csb1="00000000"/>
    <w:embedRegular r:id="rId3" w:fontKey="{2A603672-CCE8-B344-8A37-0101CD10CD49}"/>
  </w:font>
  <w:font w:name="Verdana">
    <w:panose1 w:val="020B0604030504040204"/>
    <w:charset w:val="00"/>
    <w:family w:val="swiss"/>
    <w:pitch w:val="variable"/>
    <w:sig w:usb0="A10006FF" w:usb1="4000205B" w:usb2="00000010" w:usb3="00000000" w:csb0="0000019F" w:csb1="00000000"/>
    <w:embedRegular r:id="rId4" w:fontKey="{70B19B15-E43E-9340-9465-B9EDABBA6AD3}"/>
    <w:embedBold r:id="rId5" w:fontKey="{3D8FD1FB-0E7C-3D44-BC94-25983A07CAA5}"/>
  </w:font>
  <w:font w:name="Arial Unicode MS">
    <w:panose1 w:val="020B0604020202020204"/>
    <w:charset w:val="80"/>
    <w:family w:val="swiss"/>
    <w:pitch w:val="variable"/>
    <w:sig w:usb0="F7FFAFFF" w:usb1="E9DFFFFF" w:usb2="0000003F" w:usb3="00000000" w:csb0="003F01FF" w:csb1="00000000"/>
    <w:embedRegular r:id="rId6" w:subsetted="1" w:fontKey="{6ACA0D3A-C2B8-0E4E-8685-57359866B25C}"/>
  </w:font>
  <w:font w:name="Calibri">
    <w:panose1 w:val="020F0502020204030204"/>
    <w:charset w:val="00"/>
    <w:family w:val="swiss"/>
    <w:pitch w:val="variable"/>
    <w:sig w:usb0="E0002AFF" w:usb1="C000247B" w:usb2="00000009" w:usb3="00000000" w:csb0="000001FF" w:csb1="00000000"/>
    <w:embedRegular r:id="rId7" w:fontKey="{25DCCD4D-F50F-FD44-B1A8-541221272306}"/>
  </w:font>
  <w:font w:name="Cambria">
    <w:panose1 w:val="02040503050406030204"/>
    <w:charset w:val="00"/>
    <w:family w:val="roman"/>
    <w:pitch w:val="variable"/>
    <w:sig w:usb0="E00006FF" w:usb1="420024FF" w:usb2="02000000" w:usb3="00000000" w:csb0="0000019F" w:csb1="00000000"/>
    <w:embedRegular r:id="rId8" w:fontKey="{E2302EAE-0A48-F642-AE1A-D4D869E842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CC547" w14:textId="77777777" w:rsidR="007C46A6" w:rsidRDefault="007C46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25B20" w14:textId="77777777" w:rsidR="007C46A6" w:rsidRDefault="007C46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4ACF2" w14:textId="77777777" w:rsidR="007C46A6" w:rsidRDefault="007C46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A1D3B0" w14:textId="77777777" w:rsidR="004461B8" w:rsidRDefault="004461B8" w:rsidP="007C46A6">
      <w:pPr>
        <w:spacing w:line="240" w:lineRule="auto"/>
      </w:pPr>
      <w:r>
        <w:separator/>
      </w:r>
    </w:p>
  </w:footnote>
  <w:footnote w:type="continuationSeparator" w:id="0">
    <w:p w14:paraId="4BE7BB51" w14:textId="77777777" w:rsidR="004461B8" w:rsidRDefault="004461B8" w:rsidP="007C46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931F3" w14:textId="77777777" w:rsidR="007C46A6" w:rsidRDefault="007C46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3268E" w14:textId="77777777" w:rsidR="007C46A6" w:rsidRDefault="007C46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6132E" w14:textId="77777777" w:rsidR="007C46A6" w:rsidRDefault="007C46A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E2C"/>
    <w:rsid w:val="00221666"/>
    <w:rsid w:val="004461B8"/>
    <w:rsid w:val="005A7E2C"/>
    <w:rsid w:val="007C4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0E03A"/>
  <w15:docId w15:val="{F57CA6B2-7517-9744-B95F-18C36032A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C46A6"/>
    <w:pPr>
      <w:tabs>
        <w:tab w:val="center" w:pos="4680"/>
        <w:tab w:val="right" w:pos="9360"/>
      </w:tabs>
      <w:spacing w:line="240" w:lineRule="auto"/>
    </w:pPr>
  </w:style>
  <w:style w:type="character" w:customStyle="1" w:styleId="HeaderChar">
    <w:name w:val="Header Char"/>
    <w:basedOn w:val="DefaultParagraphFont"/>
    <w:link w:val="Header"/>
    <w:uiPriority w:val="99"/>
    <w:rsid w:val="007C46A6"/>
  </w:style>
  <w:style w:type="paragraph" w:styleId="Footer">
    <w:name w:val="footer"/>
    <w:basedOn w:val="Normal"/>
    <w:link w:val="FooterChar"/>
    <w:uiPriority w:val="99"/>
    <w:unhideWhenUsed/>
    <w:rsid w:val="007C46A6"/>
    <w:pPr>
      <w:tabs>
        <w:tab w:val="center" w:pos="4680"/>
        <w:tab w:val="right" w:pos="9360"/>
      </w:tabs>
      <w:spacing w:line="240" w:lineRule="auto"/>
    </w:pPr>
  </w:style>
  <w:style w:type="character" w:customStyle="1" w:styleId="FooterChar">
    <w:name w:val="Footer Char"/>
    <w:basedOn w:val="DefaultParagraphFont"/>
    <w:link w:val="Footer"/>
    <w:uiPriority w:val="99"/>
    <w:rsid w:val="007C46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306</Words>
  <Characters>1747</Characters>
  <Application>Microsoft Office Word</Application>
  <DocSecurity>0</DocSecurity>
  <Lines>14</Lines>
  <Paragraphs>4</Paragraphs>
  <ScaleCrop>false</ScaleCrop>
  <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Hosking, Molly</cp:lastModifiedBy>
  <cp:revision>2</cp:revision>
  <dcterms:created xsi:type="dcterms:W3CDTF">2025-10-29T17:46:00Z</dcterms:created>
  <dcterms:modified xsi:type="dcterms:W3CDTF">2025-10-29T17:47:00Z</dcterms:modified>
</cp:coreProperties>
</file>